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85" w:after="85"/>
        <w:jc w:val="center"/>
        <w:rPr/>
      </w:pPr>
      <w:r>
        <w:rPr>
          <w:rFonts w:cs="Arial" w:ascii="Verdana" w:hAnsi="Verdana"/>
          <w:b/>
          <w:bCs/>
          <w:smallCaps/>
          <w:color w:val="000000"/>
          <w:sz w:val="28"/>
          <w:szCs w:val="28"/>
        </w:rPr>
        <w:t xml:space="preserve">MINUTA DE EDITAL </w:t>
      </w:r>
    </w:p>
    <w:p>
      <w:pPr>
        <w:pStyle w:val="Normal"/>
        <w:spacing w:lineRule="auto" w:line="276" w:before="85" w:after="85"/>
        <w:jc w:val="center"/>
        <w:rPr/>
      </w:pPr>
      <w:r>
        <w:rPr>
          <w:rFonts w:cs="Arial" w:ascii="Verdana" w:hAnsi="Verdana"/>
          <w:b/>
          <w:bCs/>
          <w:smallCaps/>
          <w:color w:val="000000"/>
          <w:sz w:val="28"/>
          <w:szCs w:val="28"/>
        </w:rPr>
        <w:t>PREGÃO ELETRÔNICO Nº 014/2025</w:t>
      </w:r>
    </w:p>
    <w:p>
      <w:pPr>
        <w:pStyle w:val="Normal"/>
        <w:spacing w:lineRule="auto" w:line="276" w:before="85" w:after="85"/>
        <w:jc w:val="center"/>
        <w:rPr/>
      </w:pPr>
      <w:r>
        <w:rPr>
          <w:rFonts w:cs="Arial" w:ascii="Verdana" w:hAnsi="Verdana"/>
          <w:b/>
          <w:bCs/>
          <w:smallCaps/>
          <w:color w:val="000000"/>
          <w:sz w:val="28"/>
          <w:szCs w:val="28"/>
        </w:rPr>
        <w:t>(Processo Administrativo n° 1826/2025 de 11/03/2025)</w:t>
      </w:r>
    </w:p>
    <w:p>
      <w:pPr>
        <w:pStyle w:val="Normal"/>
        <w:spacing w:lineRule="auto" w:line="276" w:before="85" w:after="85"/>
        <w:jc w:val="center"/>
        <w:rPr>
          <w:sz w:val="20"/>
          <w:szCs w:val="20"/>
        </w:rPr>
      </w:pPr>
      <w:r>
        <w:rPr>
          <w:sz w:val="20"/>
          <w:szCs w:val="20"/>
        </w:rPr>
      </w:r>
    </w:p>
    <w:p>
      <w:pPr>
        <w:pStyle w:val="BodyText"/>
        <w:spacing w:lineRule="auto" w:line="276" w:before="85" w:after="85"/>
        <w:jc w:val="both"/>
        <w:rPr/>
      </w:pPr>
      <w:r>
        <w:rPr>
          <w:rFonts w:eastAsia="Arial" w:cs="Verdana" w:ascii="Verdana" w:hAnsi="Verdana"/>
          <w:color w:val="000000"/>
          <w:sz w:val="20"/>
          <w:szCs w:val="20"/>
          <w:lang w:eastAsia="en-US"/>
        </w:rPr>
        <w:t>A Prefeitura Municipal de São Gabriel da Palha -</w:t>
      </w:r>
      <w:r>
        <w:rPr/>
        <w:t xml:space="preserve"> </w:t>
      </w:r>
      <w:r>
        <w:rPr>
          <w:rFonts w:eastAsia="Arial" w:cs="Verdana" w:ascii="Verdana" w:hAnsi="Verdana"/>
          <w:color w:val="000000"/>
          <w:sz w:val="20"/>
          <w:szCs w:val="20"/>
          <w:lang w:eastAsia="en-US"/>
        </w:rPr>
        <w:t xml:space="preserve">www.dio.es.gov.br 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85" w:after="85"/>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85" w:after="85"/>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20/05/</w:t>
      </w:r>
      <w:r>
        <w:rPr>
          <w:rFonts w:cs="Arial" w:ascii="Verdana" w:hAnsi="Verdana"/>
          <w:b/>
          <w:bCs/>
          <w:color w:val="000000"/>
          <w:sz w:val="20"/>
          <w:szCs w:val="20"/>
        </w:rPr>
        <w:t>2025.</w:t>
      </w:r>
    </w:p>
    <w:p>
      <w:pPr>
        <w:pStyle w:val="Normal"/>
        <w:spacing w:lineRule="auto" w:line="276" w:before="85" w:after="85"/>
        <w:rPr/>
      </w:pPr>
      <w:r>
        <w:rPr>
          <w:rFonts w:cs="Arial" w:ascii="Verdana" w:hAnsi="Verdana"/>
          <w:b/>
          <w:bCs/>
          <w:color w:val="000000"/>
          <w:sz w:val="20"/>
          <w:szCs w:val="20"/>
        </w:rPr>
        <w:t>Horário: 13h00min.</w:t>
      </w:r>
    </w:p>
    <w:p>
      <w:pPr>
        <w:pStyle w:val="Normal"/>
        <w:spacing w:lineRule="auto" w:line="276" w:before="85" w:after="85"/>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85" w:after="85"/>
        <w:rPr>
          <w:rFonts w:ascii="Verdana" w:hAnsi="Verdana"/>
          <w:b/>
          <w:bCs/>
          <w:sz w:val="20"/>
          <w:szCs w:val="20"/>
        </w:rPr>
      </w:pPr>
      <w:r>
        <w:rPr>
          <w:rFonts w:cs="Arial" w:ascii="Verdana" w:hAnsi="Verdana"/>
          <w:b/>
          <w:bCs/>
          <w:sz w:val="20"/>
          <w:szCs w:val="20"/>
        </w:rPr>
        <w:t>ID CIDA</w:t>
      </w:r>
      <w:r>
        <w:rPr>
          <w:rFonts w:ascii="Verdana" w:hAnsi="Verdana"/>
          <w:b/>
          <w:bCs/>
          <w:sz w:val="20"/>
          <w:szCs w:val="20"/>
        </w:rPr>
        <w:t xml:space="preserve">DES: </w:t>
      </w:r>
    </w:p>
    <w:p>
      <w:pPr>
        <w:pStyle w:val="Normal"/>
        <w:spacing w:lineRule="auto" w:line="276" w:before="85" w:after="85"/>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Pr/>
      </w:pPr>
      <w:r>
        <w:rPr>
          <w:rFonts w:cs="Arial" w:ascii="Verdana" w:hAnsi="Verdana"/>
        </w:rPr>
        <w:t>DO OBJETO</w:t>
      </w:r>
    </w:p>
    <w:p>
      <w:pPr>
        <w:pStyle w:val="ListParagraph"/>
        <w:spacing w:lineRule="auto" w:line="276" w:before="85" w:after="85"/>
        <w:ind w:hanging="0" w:left="0"/>
        <w:contextualSpacing w:val="false"/>
        <w:jc w:val="both"/>
        <w:rPr/>
      </w:pPr>
      <w:r>
        <w:rPr>
          <w:rFonts w:cs="Arial" w:ascii="Verdana" w:hAnsi="Verdana"/>
          <w:color w:val="000000"/>
          <w:sz w:val="20"/>
          <w:szCs w:val="20"/>
        </w:rPr>
        <w:t xml:space="preserve">1.1 O objeto da presente licitação é a </w:t>
      </w:r>
      <w:bookmarkStart w:id="1" w:name="_Hlk17315591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End w:id="1"/>
      <w:r>
        <w:rPr>
          <w:rFonts w:cs="Verdana" w:ascii="Verdana" w:hAnsi="Verdana"/>
          <w:sz w:val="20"/>
          <w:szCs w:val="20"/>
        </w:rPr>
        <w:t>aquisição de medicamentos injetáveis para as Unidas Básicas de Saúde, através da Secretaria Municipal de Saúde</w:t>
      </w:r>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85" w:after="85"/>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85" w:after="85"/>
        <w:ind w:hanging="0" w:left="567"/>
        <w:jc w:val="both"/>
        <w:rPr>
          <w:rFonts w:ascii="Verdana" w:hAnsi="Verdana" w:eastAsia="Batang;바탕" w:cs="Arial"/>
          <w:iCs/>
          <w:color w:val="000000"/>
          <w:sz w:val="20"/>
          <w:szCs w:val="20"/>
        </w:rPr>
      </w:pPr>
      <w:r>
        <w:rPr>
          <w:rFonts w:eastAsia="Batang;바탕" w:cs="Arial" w:ascii="Verdana" w:hAnsi="Verdana"/>
          <w:iCs/>
          <w:color w:val="000000"/>
          <w:sz w:val="20"/>
          <w:szCs w:val="20"/>
        </w:rPr>
      </w:r>
    </w:p>
    <w:p>
      <w:pPr>
        <w:pStyle w:val="Nivel01"/>
        <w:numPr>
          <w:ilvl w:val="0"/>
          <w:numId w:val="2"/>
        </w:numPr>
        <w:spacing w:lineRule="auto" w:line="276" w:before="85" w:after="85"/>
        <w:ind w:hanging="0" w:left="0"/>
        <w:rPr/>
      </w:pPr>
      <w:r>
        <w:rPr>
          <w:rFonts w:cs="Arial" w:ascii="Verdana" w:hAnsi="Verdana"/>
        </w:rPr>
        <w:t xml:space="preserve">DO REGISTRO DE PREÇOS </w:t>
      </w:r>
    </w:p>
    <w:p>
      <w:pPr>
        <w:pStyle w:val="Normal"/>
        <w:spacing w:lineRule="auto" w:line="276" w:before="85" w:after="85"/>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85" w:after="85"/>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76" w:before="85" w:after="85"/>
        <w:rPr>
          <w:rFonts w:ascii="Verdana" w:hAnsi="Verdana"/>
        </w:rPr>
      </w:pPr>
      <w:r>
        <w:rPr>
          <w:rFonts w:ascii="Verdana" w:hAnsi="Verdana"/>
        </w:rPr>
      </w:r>
    </w:p>
    <w:p>
      <w:pPr>
        <w:pStyle w:val="Nivel01"/>
        <w:numPr>
          <w:ilvl w:val="0"/>
          <w:numId w:val="2"/>
        </w:numPr>
        <w:spacing w:lineRule="auto" w:line="276" w:before="85" w:after="85"/>
        <w:ind w:hanging="0" w:left="0"/>
        <w:rPr/>
      </w:pPr>
      <w:r>
        <w:rPr>
          <w:rFonts w:cs="Arial" w:ascii="Verdana" w:hAnsi="Verdana"/>
        </w:rPr>
        <w:t>DO CREDENCIAMENTO</w:t>
      </w:r>
    </w:p>
    <w:p>
      <w:pPr>
        <w:pStyle w:val="Default"/>
        <w:spacing w:lineRule="auto" w:line="276" w:before="85" w:after="85"/>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85" w:after="85"/>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85" w:after="85"/>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85" w:after="85"/>
        <w:jc w:val="both"/>
        <w:rPr/>
      </w:pPr>
      <w:r>
        <w:rPr>
          <w:rFonts w:ascii="Verdana" w:hAnsi="Verdana"/>
          <w:sz w:val="20"/>
          <w:szCs w:val="20"/>
        </w:rPr>
        <w:t xml:space="preserve">3.4 O credenciamento do licitante e de seu representante legal junto ao sistema eletrônico implica responsabilização pelos atos praticados, devendo ser indicada pessoa com capacidade técnica para realização das transações inerentes ao certame. </w:t>
      </w:r>
    </w:p>
    <w:p>
      <w:pPr>
        <w:pStyle w:val="Default"/>
        <w:spacing w:lineRule="auto" w:line="276" w:before="85" w:after="85"/>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85" w:after="85"/>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85" w:after="85"/>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Pr/>
      </w:pPr>
      <w:r>
        <w:rPr>
          <w:rFonts w:cs="Arial" w:ascii="Verdana" w:hAnsi="Verdana"/>
        </w:rPr>
        <w:t>DA PARTICIPAÇÃO NO PREGÃO.</w:t>
      </w:r>
    </w:p>
    <w:p>
      <w:pPr>
        <w:pStyle w:val="Normal"/>
        <w:spacing w:lineRule="auto" w:line="276" w:before="85" w:after="85"/>
        <w:jc w:val="both"/>
        <w:rPr/>
      </w:pPr>
      <w:r>
        <w:rPr>
          <w:rFonts w:cs="Arial" w:ascii="Verdana" w:hAnsi="Verdana"/>
          <w:bCs/>
          <w:color w:val="000000"/>
          <w:sz w:val="20"/>
          <w:szCs w:val="20"/>
        </w:rPr>
        <w:t xml:space="preserve">4.1 Poderão participar deste certame os interessados que atenderem as exigências contidas neste Edital e seus anexos, que sejam </w:t>
      </w:r>
      <w:r>
        <w:rPr>
          <w:rFonts w:cs="Arial" w:ascii="Verdana" w:hAnsi="Verdana"/>
          <w:bCs/>
          <w:iCs/>
          <w:color w:val="000000"/>
          <w:sz w:val="20"/>
          <w:szCs w:val="20"/>
        </w:rPr>
        <w:t xml:space="preserve">pertencentes ao ramo de atividade relacionado ao objeto da licitação e que estiverem previamente credenciados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r>
        <w:rPr>
          <w:rFonts w:cs="Arial" w:ascii="Verdana" w:hAnsi="Verdana"/>
          <w:bCs/>
          <w:color w:val="000000"/>
          <w:sz w:val="20"/>
          <w:szCs w:val="20"/>
        </w:rPr>
        <w:t>.</w:t>
      </w:r>
    </w:p>
    <w:p>
      <w:pPr>
        <w:pStyle w:val="Normal"/>
        <w:spacing w:lineRule="auto" w:line="276" w:before="85" w:after="85"/>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85" w:after="85"/>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85" w:after="85"/>
        <w:jc w:val="both"/>
        <w:rPr>
          <w:rStyle w:val="InternetLink"/>
          <w:rFonts w:ascii="Verdana" w:hAnsi="Verdana" w:cs="Arial"/>
          <w:b/>
          <w:bCs/>
          <w:iCs/>
          <w:color w:val="000000"/>
          <w:sz w:val="20"/>
          <w:szCs w:val="20"/>
          <w:u w:val="none"/>
          <w:shd w:fill="FFFF00" w:val="clear"/>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pacing w:lineRule="auto" w:line="276" w:before="85" w:after="85"/>
        <w:jc w:val="both"/>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lineRule="auto" w:line="276" w:before="85" w:after="85"/>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85" w:after="85"/>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85" w:after="85"/>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85" w:after="85"/>
        <w:jc w:val="both"/>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76" w:before="85" w:after="85"/>
        <w:jc w:val="both"/>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76" w:before="85" w:after="85"/>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85" w:after="85"/>
        <w:jc w:val="both"/>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before="85" w:after="85"/>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85" w:after="85"/>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85" w:after="85"/>
        <w:ind w:hanging="0" w:left="0"/>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85" w:after="85"/>
        <w:ind w:hanging="0" w:left="0"/>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85" w:after="85"/>
        <w:ind w:hanging="0" w:left="0"/>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85" w:after="85"/>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85" w:after="85"/>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85" w:after="85"/>
        <w:ind w:hanging="0" w:left="0"/>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lineRule="auto" w:line="276" w:before="85" w:after="85"/>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lineRule="auto" w:line="276" w:before="85" w:after="85"/>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lineRule="auto" w:line="276" w:before="85" w:after="85"/>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lineRule="auto" w:line="276" w:before="85" w:after="85"/>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lineRule="auto" w:line="276" w:before="85" w:after="85"/>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lineRule="auto" w:line="276" w:before="85" w:after="85"/>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lineRule="auto" w:line="276" w:before="85" w:after="85"/>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spacing w:lineRule="auto" w:line="276" w:before="85" w:after="85"/>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85" w:after="85"/>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85" w:after="85"/>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85" w:after="85"/>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85" w:after="85"/>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85" w:after="85"/>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85" w:after="85"/>
        <w:ind w:hanging="0" w:left="0"/>
        <w:jc w:val="both"/>
        <w:rPr/>
      </w:pPr>
      <w:r>
        <w:rPr>
          <w:rFonts w:cs="Arial" w:ascii="Verdana" w:hAnsi="Verdana"/>
          <w:color w:themeColor="text1" w:val="000000"/>
          <w:sz w:val="20"/>
          <w:szCs w:val="20"/>
        </w:rPr>
        <w:t xml:space="preserve">Descrição detalhada do objeto, contendo as informações similares à especificação do </w:t>
      </w:r>
      <w:r>
        <w:rPr>
          <w:rFonts w:ascii="Verdana" w:hAnsi="Verdana"/>
          <w:sz w:val="20"/>
          <w:szCs w:val="20"/>
        </w:rPr>
        <w:t xml:space="preserve">Anexo I – Modelo Orientativo de Proposta, indicando, ainda, </w:t>
      </w:r>
      <w:r>
        <w:rPr>
          <w:rFonts w:ascii="Verdana" w:hAnsi="Verdana"/>
          <w:b/>
          <w:bCs/>
          <w:sz w:val="20"/>
          <w:szCs w:val="20"/>
        </w:rPr>
        <w:t>o prazo de validade dos produtos de no mínimo 12 (doze) meses, a contar da data de entrega.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85" w:after="85"/>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85" w:after="85"/>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0" w:after="0"/>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0" w:after="0"/>
        <w:ind w:hanging="0" w:left="0"/>
        <w:contextualSpacing w:val="false"/>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85" w:after="85"/>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85" w:after="85"/>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85" w:after="85"/>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85" w:after="85"/>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85" w:after="85"/>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85" w:after="85"/>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85" w:after="85"/>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85" w:after="85"/>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85" w:after="85"/>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85" w:after="85"/>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113" w:after="113"/>
        <w:ind w:hanging="0" w:left="0"/>
        <w:contextualSpacing/>
        <w:jc w:val="both"/>
        <w:rPr>
          <w:rFonts w:ascii="Verdana" w:hAnsi="Verdana"/>
          <w:sz w:val="20"/>
          <w:szCs w:val="20"/>
        </w:rPr>
      </w:pPr>
      <w:r>
        <w:rPr>
          <w:rFonts w:cs="Arial" w:ascii="Verdana" w:hAnsi="Verdana"/>
          <w:color w:themeColor="text1" w:val="000000"/>
          <w:sz w:val="20"/>
          <w:szCs w:val="20"/>
        </w:rPr>
        <w:t xml:space="preserve">7.9 Será adotado para o envio de lances no pregão eletrônico o </w:t>
      </w:r>
      <w:r>
        <w:rPr>
          <w:rFonts w:cs="Arial" w:ascii="Verdana" w:hAnsi="Verdana"/>
          <w:b/>
          <w:bCs/>
          <w:color w:themeColor="text1" w:val="000000"/>
          <w:sz w:val="20"/>
          <w:szCs w:val="20"/>
        </w:rPr>
        <w:t>modo de disputa “aberto e fechado”</w:t>
      </w:r>
      <w:r>
        <w:rPr>
          <w:rFonts w:cs="Arial" w:ascii="Verdana" w:hAnsi="Verdana"/>
          <w:color w:themeColor="text1" w:val="000000"/>
          <w:sz w:val="20"/>
          <w:szCs w:val="20"/>
        </w:rPr>
        <w:t>, em que os licitantes apresentarão lances públicos e sucessivos, crescentes ou decrescentes, com prorrogações.</w:t>
      </w:r>
    </w:p>
    <w:p>
      <w:pPr>
        <w:pStyle w:val="ListParagraph"/>
        <w:spacing w:lineRule="auto" w:line="276" w:before="113" w:after="113"/>
        <w:ind w:hanging="0" w:left="0"/>
        <w:contextualSpacing/>
        <w:jc w:val="both"/>
        <w:rPr>
          <w:rFonts w:ascii="Verdana" w:hAnsi="Verdana"/>
          <w:sz w:val="20"/>
          <w:szCs w:val="20"/>
        </w:rPr>
      </w:pPr>
      <w:r>
        <w:rPr>
          <w:rFonts w:cs="Arial" w:ascii="Verdana" w:hAnsi="Verdana"/>
          <w:color w:themeColor="text1"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113" w:after="113"/>
        <w:ind w:hanging="0" w:left="0"/>
        <w:contextualSpacing/>
        <w:jc w:val="both"/>
        <w:rPr>
          <w:rFonts w:ascii="Verdana" w:hAnsi="Verdana"/>
          <w:sz w:val="20"/>
          <w:szCs w:val="20"/>
        </w:rPr>
      </w:pPr>
      <w:r>
        <w:rPr>
          <w:rFonts w:cs="Arial" w:ascii="Verdana" w:hAnsi="Verdana"/>
          <w:color w:themeColor="text1"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113" w:after="113"/>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113" w:after="113"/>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76" w:before="113" w:after="113"/>
        <w:jc w:val="both"/>
        <w:rPr>
          <w:rFonts w:ascii="Verdana" w:hAnsi="Verdana"/>
          <w:sz w:val="20"/>
          <w:szCs w:val="20"/>
        </w:rPr>
      </w:pPr>
      <w:r>
        <w:rPr>
          <w:rFonts w:ascii="Verdana" w:hAnsi="Verdana"/>
          <w:sz w:val="20"/>
          <w:szCs w:val="20"/>
        </w:rPr>
        <w:t>7.12.1.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113" w:after="113"/>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113" w:after="113"/>
        <w:jc w:val="both"/>
        <w:rPr>
          <w:rFonts w:ascii="Verdana" w:hAnsi="Verdana" w:cs="Arial"/>
          <w:color w:themeColor="text1" w:val="000000"/>
          <w:sz w:val="20"/>
          <w:szCs w:val="20"/>
        </w:rPr>
      </w:pPr>
      <w:r>
        <w:rPr>
          <w:rFonts w:cs="Arial" w:ascii="Verdana" w:hAnsi="Verdana"/>
          <w:color w:themeColor="text1" w:val="000000"/>
          <w:sz w:val="20"/>
          <w:szCs w:val="20"/>
        </w:rPr>
        <w:t>7.14 Não serão aceitos dois ou mais lances de mesmo valor, prevalecendo aquele que for recebido e registrado em primeiro lugar.</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7.16 No caso de desconexão com o Pregoeiro, no decorrer da etapa competitiva do Pregão, o sistema eletrônico poderá permanecer acessível aos licitantes para a recepção dos lances.</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7.18 O Critério de julgamento adotado será o menor preço, conforme definido neste Edital e seus anexos.</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7.19 Caso o licitante não apresente lances, concorrerá com o valor de sua proposta.</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7.25 Só poderá haver empate entre propostas iguais (não seguidas de lances), ou entre lances finais da fase fechada do modo de disputa aberto e fechado.</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7.26 Havendo eventual empate entre propostas ou lances, o critério de desempate será aquele previsto no art. 3º, § 2º, da Lei nº 8.666, de 1993, assegurando-se a preferência, sucessivamente, aos bens produzidos:</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lang w:eastAsia="en-US"/>
        </w:rPr>
        <w:t xml:space="preserve">7.26.1 </w:t>
      </w:r>
      <w:r>
        <w:rPr>
          <w:rFonts w:cs="Arial" w:ascii="Verdana" w:hAnsi="Verdana"/>
          <w:color w:val="000000"/>
          <w:sz w:val="20"/>
          <w:szCs w:val="20"/>
          <w:lang w:eastAsia="en-US"/>
        </w:rPr>
        <w:t>No país;</w:t>
      </w:r>
    </w:p>
    <w:p>
      <w:pPr>
        <w:pStyle w:val="Normal"/>
        <w:spacing w:lineRule="auto" w:line="276" w:before="113" w:after="113"/>
        <w:jc w:val="both"/>
        <w:rPr>
          <w:rFonts w:ascii="Verdana" w:hAnsi="Verdana"/>
          <w:sz w:val="20"/>
          <w:szCs w:val="20"/>
        </w:rPr>
      </w:pPr>
      <w:r>
        <w:rPr>
          <w:rFonts w:cs="Arial" w:ascii="Verdana" w:hAnsi="Verdana"/>
          <w:color w:val="000000"/>
          <w:sz w:val="20"/>
          <w:szCs w:val="20"/>
          <w:lang w:eastAsia="en-US"/>
        </w:rPr>
        <w:t>7.26.2 Por empresas brasileiras;</w:t>
      </w:r>
    </w:p>
    <w:p>
      <w:pPr>
        <w:pStyle w:val="Normal"/>
        <w:spacing w:lineRule="auto" w:line="276" w:before="113" w:after="113"/>
        <w:jc w:val="both"/>
        <w:rPr>
          <w:rFonts w:ascii="Verdana" w:hAnsi="Verdana"/>
          <w:sz w:val="20"/>
          <w:szCs w:val="20"/>
        </w:rPr>
      </w:pPr>
      <w:r>
        <w:rPr>
          <w:rFonts w:cs="Arial" w:ascii="Verdana" w:hAnsi="Verdana"/>
          <w:color w:val="000000"/>
          <w:sz w:val="20"/>
          <w:szCs w:val="20"/>
          <w:lang w:eastAsia="en-US"/>
        </w:rPr>
        <w:t>7.26.3 Por empresas que invistam em pesquisa e no desenvolvimento de tecnologia no País;</w:t>
      </w:r>
    </w:p>
    <w:p>
      <w:pPr>
        <w:pStyle w:val="Normal"/>
        <w:spacing w:lineRule="auto" w:line="276" w:before="113" w:after="113"/>
        <w:jc w:val="both"/>
        <w:rPr>
          <w:rFonts w:ascii="Verdana" w:hAnsi="Verdana"/>
          <w:sz w:val="20"/>
          <w:szCs w:val="20"/>
        </w:rPr>
      </w:pPr>
      <w:r>
        <w:rPr>
          <w:rFonts w:cs="Arial" w:ascii="Verdana" w:hAnsi="Verdana"/>
          <w:color w:val="000000"/>
          <w:sz w:val="20"/>
          <w:szCs w:val="20"/>
          <w:lang w:eastAsia="en-US"/>
        </w:rPr>
        <w:t>7.26.4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113" w:after="113"/>
        <w:jc w:val="both"/>
        <w:rPr>
          <w:rFonts w:ascii="Verdana" w:hAnsi="Verdana"/>
          <w:sz w:val="20"/>
          <w:szCs w:val="20"/>
        </w:rPr>
      </w:pPr>
      <w:r>
        <w:rPr>
          <w:rFonts w:cs="Arial" w:ascii="Verdana" w:hAnsi="Verdana"/>
          <w:color w:val="000000"/>
          <w:sz w:val="20"/>
          <w:szCs w:val="20"/>
          <w:lang w:eastAsia="en-US"/>
        </w:rPr>
        <w:t xml:space="preserve">7.27 </w:t>
      </w:r>
      <w:r>
        <w:rPr>
          <w:rFonts w:cs="Arial" w:ascii="Verdana" w:hAnsi="Verdana"/>
          <w:color w:themeColor="text1" w:val="000000"/>
          <w:sz w:val="20"/>
          <w:szCs w:val="20"/>
        </w:rPr>
        <w:t xml:space="preserve">Persistindo o empate, a proposta vencedora será sorteada pelo sistema eletrônico dentre as propostas ou os lances empatados. </w:t>
      </w:r>
    </w:p>
    <w:p>
      <w:pPr>
        <w:pStyle w:val="Normal"/>
        <w:spacing w:lineRule="auto" w:line="276" w:before="113" w:after="113"/>
        <w:jc w:val="both"/>
        <w:rPr>
          <w:rFonts w:ascii="Verdana" w:hAnsi="Verdana"/>
          <w:sz w:val="20"/>
          <w:szCs w:val="20"/>
        </w:rPr>
      </w:pPr>
      <w:r>
        <w:rPr>
          <w:rFonts w:cs="Arial" w:ascii="Verdana" w:hAnsi="Verdana"/>
          <w:color w:themeColor="text1"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113" w:after="113"/>
        <w:ind w:hanging="0" w:left="0"/>
        <w:contextualSpacing/>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08"/>
          <w:tab w:val="left" w:pos="-12" w:leader="none"/>
        </w:tabs>
        <w:spacing w:lineRule="auto" w:line="276" w:before="113" w:after="113"/>
        <w:ind w:hanging="0" w:left="0"/>
        <w:contextualSpacing/>
        <w:jc w:val="both"/>
        <w:rPr>
          <w:rFonts w:ascii="Verdana" w:hAnsi="Verdana"/>
          <w:sz w:val="20"/>
          <w:szCs w:val="20"/>
        </w:rPr>
      </w:pPr>
      <w:r>
        <w:rPr>
          <w:rFonts w:cs="Arial" w:ascii="Verdana" w:hAnsi="Verdana"/>
          <w:color w:val="000000"/>
          <w:sz w:val="20"/>
          <w:szCs w:val="20"/>
        </w:rPr>
        <w:t xml:space="preserve">7.28.2 O pregoeiro solicitará ao licitante </w:t>
      </w:r>
      <w:r>
        <w:rPr>
          <w:rFonts w:cs="Arial" w:ascii="Verdana" w:hAnsi="Verdana"/>
          <w:color w:themeColor="text1" w:val="000000"/>
          <w:sz w:val="20"/>
          <w:szCs w:val="20"/>
        </w:rPr>
        <w:t xml:space="preserve">melhor classificado </w:t>
      </w:r>
      <w:r>
        <w:rPr>
          <w:rFonts w:cs="Arial" w:ascii="Verdana" w:hAnsi="Verdana"/>
          <w:color w:val="000000"/>
          <w:sz w:val="20"/>
          <w:szCs w:val="20"/>
        </w:rPr>
        <w:t xml:space="preserve">que, </w:t>
      </w:r>
      <w:r>
        <w:rPr>
          <w:rFonts w:cs="Arial" w:ascii="Verdana" w:hAnsi="Verdana"/>
          <w:color w:themeColor="text1" w:val="000000"/>
          <w:sz w:val="20"/>
          <w:szCs w:val="20"/>
        </w:rPr>
        <w:t>no prazo de 02 (duas)</w:t>
      </w:r>
      <w:r>
        <w:rPr>
          <w:rFonts w:cs="Arial" w:ascii="Verdana" w:hAnsi="Verdana"/>
          <w:i/>
          <w:iCs/>
          <w:color w:themeColor="text1" w:val="000000"/>
          <w:sz w:val="20"/>
          <w:szCs w:val="20"/>
        </w:rPr>
        <w:t xml:space="preserve"> </w:t>
      </w:r>
      <w:r>
        <w:rPr>
          <w:rFonts w:cs="Arial" w:ascii="Verdana" w:hAnsi="Verdana"/>
          <w:color w:themeColor="text1" w:val="000000"/>
          <w:sz w:val="20"/>
          <w:szCs w:val="20"/>
        </w:rPr>
        <w:t xml:space="preserve">horas, envie </w:t>
      </w:r>
      <w:r>
        <w:rPr>
          <w:rFonts w:cs="Arial" w:ascii="Verdana" w:hAnsi="Verdana"/>
          <w:color w:val="000000"/>
          <w:sz w:val="20"/>
          <w:szCs w:val="20"/>
        </w:rPr>
        <w:t xml:space="preserve">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85" w:after="85"/>
        <w:ind w:hanging="0" w:left="0"/>
        <w:contextualSpacing w:val="false"/>
        <w:jc w:val="both"/>
        <w:rPr/>
      </w:pPr>
      <w:r>
        <w:rPr>
          <w:rFonts w:cs="Arial" w:ascii="Verdana" w:hAnsi="Verdana"/>
          <w:color w:val="000000"/>
          <w:sz w:val="20"/>
          <w:szCs w:val="20"/>
        </w:rPr>
        <w:t xml:space="preserve">7.29 </w:t>
      </w:r>
      <w:r>
        <w:rPr>
          <w:rFonts w:cs="Arial" w:ascii="Verdana" w:hAnsi="Verdana"/>
          <w:color w:themeColor="text1" w:val="000000"/>
          <w:sz w:val="20"/>
          <w:szCs w:val="20"/>
        </w:rPr>
        <w:t>Após a negociação do preço, o Pregoeiro iniciará a fase de aceitação e julgamento da proposta.</w:t>
      </w:r>
    </w:p>
    <w:p>
      <w:pPr>
        <w:pStyle w:val="ListParagraph"/>
        <w:tabs>
          <w:tab w:val="clear" w:pos="708"/>
          <w:tab w:val="left" w:pos="-12" w:leader="none"/>
        </w:tabs>
        <w:spacing w:lineRule="auto" w:line="276" w:before="0" w:after="0"/>
        <w:ind w:hanging="0"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85" w:after="85"/>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85" w:after="85"/>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85" w:after="85"/>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85" w:after="85"/>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85" w:after="85"/>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85" w:after="85"/>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85" w:after="85"/>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85" w:after="85"/>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85" w:after="85"/>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85" w:after="85"/>
        <w:ind w:hanging="0"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85" w:after="85"/>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85" w:after="85"/>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85" w:after="85"/>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85" w:after="85"/>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85" w:after="85"/>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85" w:after="85"/>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85" w:after="85"/>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85" w:after="85"/>
        <w:ind w:hanging="0" w:left="0"/>
        <w:contextualSpacing w:val="false"/>
        <w:jc w:val="both"/>
        <w:rPr/>
      </w:pPr>
      <w:r>
        <w:rPr>
          <w:rFonts w:cs="Arial" w:ascii="Verdana" w:hAnsi="Verdana"/>
          <w:sz w:val="20"/>
          <w:szCs w:val="20"/>
          <w:lang w:eastAsia="ar-SA"/>
        </w:rPr>
        <w:t>a) SICAF;</w:t>
      </w:r>
    </w:p>
    <w:p>
      <w:pPr>
        <w:pStyle w:val="ListParagraph"/>
        <w:spacing w:lineRule="auto" w:line="276" w:before="85" w:after="85"/>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&lt;</w:t>
      </w:r>
      <w:hyperlink r:id="rId4">
        <w:r>
          <w:rPr>
            <w:rStyle w:val="ListLabel184"/>
            <w:rFonts w:cs="Arial" w:ascii="Verdana" w:hAnsi="Verdana"/>
            <w:color w:val="000080"/>
            <w:sz w:val="20"/>
            <w:szCs w:val="20"/>
            <w:u w:val="single"/>
            <w:lang w:eastAsia="ar-SA"/>
          </w:rPr>
          <w:t>www.portaldatransparencia.gov.br/ceis</w:t>
        </w:r>
      </w:hyperlink>
      <w:r>
        <w:rPr>
          <w:rStyle w:val="Hyperlink1"/>
          <w:rFonts w:cs="Arial" w:ascii="Verdana" w:hAnsi="Verdana"/>
          <w:sz w:val="20"/>
          <w:szCs w:val="20"/>
          <w:lang w:eastAsia="ar-SA"/>
        </w:rPr>
        <w:t>&gt;</w:t>
      </w:r>
      <w:r>
        <w:rPr>
          <w:rFonts w:cs="Arial" w:ascii="Verdana" w:hAnsi="Verdana"/>
          <w:sz w:val="20"/>
          <w:szCs w:val="20"/>
          <w:lang w:eastAsia="ar-SA"/>
        </w:rPr>
        <w:t>;</w:t>
      </w:r>
    </w:p>
    <w:p>
      <w:pPr>
        <w:pStyle w:val="ListParagraph"/>
        <w:spacing w:lineRule="auto" w:line="276" w:before="85" w:after="85"/>
        <w:ind w:hanging="0" w:left="0"/>
        <w:contextualSpacing w:val="false"/>
        <w:rPr/>
      </w:pPr>
      <w:r>
        <w:rPr>
          <w:rFonts w:cs="Arial" w:ascii="Verdana" w:hAnsi="Verdana"/>
          <w:sz w:val="20"/>
          <w:szCs w:val="20"/>
          <w:lang w:eastAsia="ar-SA"/>
        </w:rPr>
        <w:t>c) Cadastro Nacional de Condenações Cíveis por Atos de Improbidade Administrativa, mantido pelo Conselho Nacional de Justiça &lt;</w:t>
      </w:r>
      <w:hyperlink r:id="rId5">
        <w:r>
          <w:rPr>
            <w:rStyle w:val="ListLabel184"/>
            <w:rFonts w:cs="Arial" w:ascii="Verdana" w:hAnsi="Verdana"/>
            <w:color w:val="000080"/>
            <w:sz w:val="20"/>
            <w:szCs w:val="20"/>
            <w:u w:val="single"/>
            <w:lang w:eastAsia="ar-SA"/>
          </w:rPr>
          <w:t>www.cnj.jus.br/improbidade_adm/consultar_requerido.php</w:t>
        </w:r>
      </w:hyperlink>
      <w:r>
        <w:rPr>
          <w:rStyle w:val="Hyperlink1"/>
          <w:rFonts w:cs="Arial" w:ascii="Verdana" w:hAnsi="Verdana"/>
          <w:sz w:val="20"/>
          <w:szCs w:val="20"/>
          <w:lang w:eastAsia="ar-SA"/>
        </w:rPr>
        <w:t>&gt;</w:t>
      </w:r>
      <w:r>
        <w:rPr>
          <w:rStyle w:val="Hyperlink1"/>
          <w:rFonts w:cs="Arial" w:ascii="Verdana" w:hAnsi="Verdana"/>
          <w:sz w:val="20"/>
          <w:szCs w:val="20"/>
          <w:u w:val="none"/>
          <w:lang w:eastAsia="ar-SA"/>
        </w:rPr>
        <w:t>;</w:t>
      </w:r>
    </w:p>
    <w:p>
      <w:pPr>
        <w:pStyle w:val="ListParagraph"/>
        <w:spacing w:lineRule="auto" w:line="276" w:before="85" w:after="85"/>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85" w:after="85"/>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 &lt;</w:t>
      </w:r>
      <w:hyperlink r:id="rId6">
        <w:r>
          <w:rPr>
            <w:rStyle w:val="Hyperlink"/>
            <w:rFonts w:ascii="Verdana" w:hAnsi="Verdana"/>
            <w:sz w:val="20"/>
            <w:szCs w:val="20"/>
          </w:rPr>
          <w:t>https://www.tcees.tc.br/portal-da-transparencia/consultas/lista-de-responsaveis/empresas-inidoneas/</w:t>
        </w:r>
      </w:hyperlink>
      <w:r>
        <w:rPr>
          <w:rFonts w:ascii="Verdana" w:hAnsi="Verdana"/>
          <w:sz w:val="20"/>
          <w:szCs w:val="20"/>
        </w:rPr>
        <w:t>&gt; e proibidas de contratar com o Poder Público estadual ou municipal &lt;</w:t>
      </w:r>
      <w:hyperlink r:id="rId7">
        <w:r>
          <w:rPr>
            <w:rStyle w:val="Hyperlink"/>
            <w:rFonts w:ascii="Verdana" w:hAnsi="Verdana"/>
            <w:sz w:val="20"/>
            <w:szCs w:val="20"/>
          </w:rPr>
          <w:t>https://www.tcees.tc.br/portal-da-transparencia/consultas/lista-deresponsáveis/proibidos-de-contratar/</w:t>
        </w:r>
      </w:hyperlink>
      <w:r>
        <w:rPr>
          <w:rFonts w:ascii="Verdana" w:hAnsi="Verdana"/>
          <w:sz w:val="20"/>
          <w:szCs w:val="20"/>
        </w:rPr>
        <w:t>&gt;.</w:t>
      </w:r>
    </w:p>
    <w:p>
      <w:pPr>
        <w:pStyle w:val="Normal"/>
        <w:spacing w:lineRule="auto" w:line="276" w:before="85" w:after="85"/>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8">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85" w:after="85"/>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85" w:after="85"/>
        <w:ind w:hanging="0"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85" w:after="85"/>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85" w:after="85"/>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85" w:after="85"/>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85" w:after="85"/>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85" w:after="85"/>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85" w:after="85"/>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85" w:after="85"/>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85" w:after="85"/>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85" w:after="85"/>
        <w:ind w:hanging="0" w:left="0"/>
        <w:contextualSpacing w:val="false"/>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85" w:after="85"/>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9">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85" w:after="85"/>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85" w:after="85"/>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85" w:after="85"/>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85" w:after="85"/>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85" w:after="85"/>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85" w:after="85"/>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85" w:after="85"/>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85" w:after="85"/>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85" w:after="85"/>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85" w:after="85"/>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85" w:after="85"/>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spacing w:lineRule="auto" w:line="276" w:before="57" w:after="57"/>
        <w:ind w:hanging="0" w:left="0"/>
        <w:contextualSpacing w:val="false"/>
        <w:jc w:val="both"/>
        <w:rPr>
          <w:rFonts w:ascii="Verdana" w:hAnsi="Verdana" w:cs="CIDFont+F3"/>
          <w:sz w:val="20"/>
          <w:szCs w:val="20"/>
        </w:rPr>
      </w:pPr>
      <w:r>
        <w:rPr>
          <w:rFonts w:cs="CIDFont+F3" w:ascii="Verdana" w:hAnsi="Verdana"/>
          <w:sz w:val="20"/>
          <w:szCs w:val="20"/>
        </w:rPr>
        <w:t>9.11.1 Para Qualificação Técnica da Licitante, deverão ser apresentados os seguintes documentos:</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a) </w:t>
      </w:r>
      <w:r>
        <w:rPr>
          <w:rFonts w:cs="CIDFont+F2" w:ascii="Verdana" w:hAnsi="Verdana"/>
          <w:b/>
          <w:bCs/>
          <w:sz w:val="20"/>
          <w:szCs w:val="20"/>
        </w:rPr>
        <w:t>ATESTADO DE CAPACIDADE TÉCNICA</w:t>
      </w:r>
      <w:r>
        <w:rPr>
          <w:rFonts w:cs="CIDFont+F3" w:ascii="Verdana" w:hAnsi="Verdana"/>
          <w:sz w:val="20"/>
          <w:szCs w:val="20"/>
        </w:rPr>
        <w:t>: Atestado(s) de fornecimento(s) emitido(s) por entidade(s) de direito público ou privado comprovando a aptidão da licitante para o fornecimento do(s) produto(s) idêntico(s) ou similar(es) aos objetos licitados, devidamente assinado e, preferencialmente, em papel timbrado da empresa ou órgão tomador do fornecimento;</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b) </w:t>
      </w:r>
      <w:r>
        <w:rPr>
          <w:rFonts w:cs="CIDFont+F2" w:ascii="Verdana" w:hAnsi="Verdana"/>
          <w:b/>
          <w:bCs/>
          <w:sz w:val="20"/>
          <w:szCs w:val="20"/>
        </w:rPr>
        <w:t>ALVARÁ DE LICENÇA SANITÁRIA</w:t>
      </w:r>
      <w:r>
        <w:rPr>
          <w:rFonts w:cs="CIDFont+F3" w:ascii="Verdana" w:hAnsi="Verdana"/>
          <w:sz w:val="20"/>
          <w:szCs w:val="20"/>
        </w:rPr>
        <w:t>, expedido pelo órgão competente do Município ou Estado ou Distrito Federal onde for domiciliado o licitante, devidamente válido na forma da legislação específica vigente;</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c) </w:t>
      </w:r>
      <w:r>
        <w:rPr>
          <w:rFonts w:cs="CIDFont+F2" w:ascii="Verdana" w:hAnsi="Verdana"/>
          <w:b/>
          <w:bCs/>
          <w:sz w:val="20"/>
          <w:szCs w:val="20"/>
        </w:rPr>
        <w:t>CERTIFICADO DE REGULARIDADE TÉCNICA</w:t>
      </w:r>
      <w:r>
        <w:rPr>
          <w:rFonts w:cs="CIDFont+F3" w:ascii="Verdana" w:hAnsi="Verdana"/>
          <w:sz w:val="20"/>
          <w:szCs w:val="20"/>
        </w:rPr>
        <w:t>, expedido pelo Conselho Regional de Farmácia do Estado onde for domiciliado o licitante, com a indicação do responsável técnico, devidamente válido na forma da legislação específica vigente;</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d) </w:t>
      </w:r>
      <w:r>
        <w:rPr>
          <w:rFonts w:cs="CIDFont+F2" w:ascii="Verdana" w:hAnsi="Verdana"/>
          <w:b/>
          <w:bCs/>
          <w:sz w:val="20"/>
          <w:szCs w:val="20"/>
        </w:rPr>
        <w:t>AUTORIZAÇÃO DE FUNCIONAMENTO DE EMPRESA E AUTORIZAÇÃO ESPECIAL</w:t>
      </w:r>
      <w:r>
        <w:rPr>
          <w:rFonts w:cs="CIDFont+F2" w:ascii="Verdana" w:hAnsi="Verdana"/>
          <w:sz w:val="20"/>
          <w:szCs w:val="20"/>
        </w:rPr>
        <w:t xml:space="preserve"> </w:t>
      </w:r>
      <w:r>
        <w:rPr>
          <w:rFonts w:cs="CIDFont+F3" w:ascii="Verdana" w:hAnsi="Verdana"/>
          <w:sz w:val="20"/>
          <w:szCs w:val="20"/>
        </w:rPr>
        <w:t>(para medicamentos sujeitos a controle especial constantes na Portaria MS n.º 344/1998 e suas atualizações) do licitante, expedida pela Agência Nacional de Vigilância Sanitária - ANVISA, devidamente válida na forma da legislação específica vigente. Tal comprovação poderá ser feita ainda por meio de cópia da respectiva publicação no Diário Oficial da União ou respectivos “prints” da página do DOU na internet ou “prints” da página da ANVISA na internet, os quais estarão sujeitos à confirmação pelo setor técnico competente;</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e) </w:t>
      </w:r>
      <w:r>
        <w:rPr>
          <w:rFonts w:cs="CIDFont+F2" w:ascii="Verdana" w:hAnsi="Verdana"/>
          <w:b/>
          <w:bCs/>
          <w:sz w:val="20"/>
          <w:szCs w:val="20"/>
        </w:rPr>
        <w:t>CERTIFICADO DE REGISTRO DO MEDICAMENTO</w:t>
      </w:r>
      <w:r>
        <w:rPr>
          <w:rFonts w:cs="CIDFont+F3" w:ascii="Verdana" w:hAnsi="Verdana"/>
          <w:sz w:val="20"/>
          <w:szCs w:val="20"/>
        </w:rPr>
        <w:t>, expedido pela Agência Nacional de Vigilância Sanitária - ANVISA, devidamente válido na forma da legislação específica vigente ou ANVISA na internet, os quais estarão sujeitos à confirmação pelo setor técnico competente;</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e.1) </w:t>
      </w:r>
      <w:r>
        <w:rPr>
          <w:rFonts w:cs="CIDFont+F3" w:ascii="Verdana" w:hAnsi="Verdana"/>
          <w:sz w:val="20"/>
          <w:szCs w:val="20"/>
        </w:rPr>
        <w:t>no caso do registro encontrar-se em fase de renovação, deverá ser apresentada a cópia do respectivo Certificado de Registro do Medicamento em renovação acompanhada da cópia da solicitação de sua revalidação, contendo o número do registro (13 dígitos) do medicamento ofertado, conforme estabelecido nos §§ 2º e 3º do art. 8º, do Decreto Federal 8.077/2013;</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e.2) </w:t>
      </w:r>
      <w:r>
        <w:rPr>
          <w:rFonts w:cs="CIDFont+F3" w:ascii="Verdana" w:hAnsi="Verdana"/>
          <w:sz w:val="20"/>
          <w:szCs w:val="20"/>
        </w:rPr>
        <w:t>no caso de indeferimento da renovação do registro, deverá ser apresentada a cópia do registro do medicamento em questão, do indeferimento da renovação do registro e do protocolo do recurso administrativo interposto junto à Agência Nacional de Vigilância Sanitária - ANVISA, conforme RDC nº 266/2019;</w:t>
      </w:r>
    </w:p>
    <w:p>
      <w:pPr>
        <w:pStyle w:val="Normal"/>
        <w:suppressAutoHyphens w:val="false"/>
        <w:spacing w:lineRule="auto" w:line="276"/>
        <w:jc w:val="both"/>
        <w:rPr>
          <w:rFonts w:ascii="Verdana" w:hAnsi="Verdana" w:cs="CIDFont+F3"/>
          <w:sz w:val="20"/>
          <w:szCs w:val="20"/>
        </w:rPr>
      </w:pPr>
      <w:r>
        <w:rPr>
          <w:rFonts w:cs="CIDFont+F2" w:ascii="Verdana" w:hAnsi="Verdana"/>
          <w:sz w:val="20"/>
          <w:szCs w:val="20"/>
        </w:rPr>
        <w:t xml:space="preserve">e.3) </w:t>
      </w:r>
      <w:r>
        <w:rPr>
          <w:rFonts w:cs="CIDFont+F3" w:ascii="Verdana" w:hAnsi="Verdana"/>
          <w:sz w:val="20"/>
          <w:szCs w:val="20"/>
        </w:rPr>
        <w:t>no caso de medicamento de notificação simplificada, deverá ser apresentado o Comprovante de Notificação, expedido pela Agência Nacional de Vigilância Sanitária - ANVISA, devidamente válido na forma da legislação específica vigente ou cópia da respectiva publicação no Diário Oficial da União ou respectivos “prints” da página do DOU na internet ou “prints” da página da ANVISA na internet, os quais estarão sujeitos à confirmação pelo setor técnico competente;</w:t>
      </w:r>
    </w:p>
    <w:p>
      <w:pPr>
        <w:pStyle w:val="Normal"/>
        <w:tabs>
          <w:tab w:val="clear" w:pos="708"/>
          <w:tab w:val="left" w:pos="426" w:leader="none"/>
        </w:tabs>
        <w:snapToGrid w:val="false"/>
        <w:spacing w:lineRule="auto" w:line="276" w:before="57" w:after="57"/>
        <w:jc w:val="both"/>
        <w:rPr>
          <w:rFonts w:ascii="Verdana" w:hAnsi="Verdana"/>
          <w:sz w:val="20"/>
          <w:szCs w:val="20"/>
        </w:rPr>
      </w:pPr>
      <w:r>
        <w:rPr>
          <w:rFonts w:cs="CIDFont+F2" w:ascii="Verdana" w:hAnsi="Verdana"/>
          <w:sz w:val="20"/>
          <w:szCs w:val="20"/>
        </w:rPr>
        <w:t xml:space="preserve">9.11.2. </w:t>
      </w:r>
      <w:r>
        <w:rPr>
          <w:rFonts w:cs="CIDFont+F3" w:ascii="Verdana" w:hAnsi="Verdana"/>
          <w:sz w:val="20"/>
          <w:szCs w:val="20"/>
        </w:rPr>
        <w:t>Serão aceitos atestados ou outros documentos hábeis emitidos por entidades estrangeiras quando acompanhados de tradução para o português, salvo se comprovada a inidoneidade da entidade emissora.</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08"/>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Nivel01"/>
        <w:numPr>
          <w:ilvl w:val="0"/>
          <w:numId w:val="2"/>
        </w:numPr>
        <w:spacing w:lineRule="auto" w:line="276" w:before="85" w:after="85"/>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85" w:after="85"/>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85" w:after="85"/>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85" w:after="85"/>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85" w:after="85"/>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85" w:after="85"/>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85" w:after="85"/>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85" w:after="85"/>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85" w:after="85"/>
        <w:ind w:hanging="0" w:left="0"/>
        <w:contextualSpacing w:val="false"/>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lang w:eastAsia="en-US"/>
        </w:rPr>
        <w:t>DOS RECURSOS</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85" w:after="85"/>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85" w:after="85"/>
        <w:ind w:hanging="0" w:left="0"/>
        <w:contextualSpacing w:val="false"/>
        <w:jc w:val="both"/>
        <w:rPr>
          <w:rFonts w:cs="Arial"/>
          <w:color w:val="000000"/>
        </w:rPr>
      </w:pPr>
      <w:r>
        <w:rPr>
          <w:rFonts w:cs="Arial"/>
          <w:color w:val="000000"/>
        </w:rPr>
      </w:r>
    </w:p>
    <w:p>
      <w:pPr>
        <w:pStyle w:val="Nivel01"/>
        <w:numPr>
          <w:ilvl w:val="0"/>
          <w:numId w:val="2"/>
        </w:numPr>
        <w:spacing w:lineRule="auto" w:line="276" w:before="85" w:after="85"/>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85" w:after="85"/>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85" w:after="85"/>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85" w:after="85"/>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85" w:after="85"/>
        <w:rPr>
          <w:rFonts w:ascii="Verdana" w:hAnsi="Verdana" w:cs="Arial"/>
          <w:sz w:val="20"/>
          <w:szCs w:val="20"/>
        </w:rPr>
      </w:pPr>
      <w:r>
        <w:rPr>
          <w:rFonts w:cs="Arial" w:ascii="Verdana" w:hAnsi="Verdana"/>
          <w:sz w:val="20"/>
          <w:szCs w:val="20"/>
        </w:rPr>
      </w:r>
    </w:p>
    <w:p>
      <w:pPr>
        <w:pStyle w:val="Nivel01"/>
        <w:numPr>
          <w:ilvl w:val="0"/>
          <w:numId w:val="2"/>
        </w:numPr>
        <w:spacing w:lineRule="auto" w:line="276" w:before="85" w:after="85"/>
        <w:ind w:hanging="0" w:left="0"/>
        <w:rPr/>
      </w:pPr>
      <w:r>
        <w:rPr>
          <w:rFonts w:cs="Arial" w:ascii="Verdana" w:hAnsi="Verdana"/>
        </w:rPr>
        <w:t xml:space="preserve">DA ADJUDICAÇÃO E HOMOLOGAÇÃO </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85" w:after="85"/>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Pr/>
      </w:pPr>
      <w:r>
        <w:rPr>
          <w:rFonts w:cs="Arial" w:ascii="Verdana" w:hAnsi="Verdana"/>
          <w:color w:val="auto"/>
        </w:rPr>
        <w:t xml:space="preserve">DA GARANTIA DE EXECUÇÃO </w:t>
      </w:r>
    </w:p>
    <w:p>
      <w:pPr>
        <w:pStyle w:val="ListParagraph"/>
        <w:numPr>
          <w:ilvl w:val="1"/>
          <w:numId w:val="2"/>
        </w:numPr>
        <w:spacing w:lineRule="auto" w:line="276" w:before="85" w:after="85"/>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85" w:after="85"/>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85" w:after="85"/>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85" w:after="85"/>
        <w:ind w:hanging="0"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85" w:after="85"/>
        <w:ind w:hanging="0"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85" w:after="85"/>
        <w:ind w:hanging="0"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85" w:after="85"/>
        <w:ind w:hanging="0"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85" w:after="85"/>
        <w:ind w:hanging="0"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85" w:after="85"/>
        <w:ind w:hanging="0"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85" w:after="85"/>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85" w:after="85"/>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85" w:after="85"/>
        <w:rPr/>
      </w:pPr>
      <w:r>
        <w:rPr>
          <w:rFonts w:cs="Arial" w:ascii="Verdana" w:hAnsi="Verdana"/>
        </w:rPr>
        <w:t>16. DO REAJUSTAMENTO EM SENTIDO GERAL</w:t>
      </w:r>
    </w:p>
    <w:p>
      <w:pPr>
        <w:pStyle w:val="ListParagraph"/>
        <w:spacing w:lineRule="auto" w:line="276" w:before="85" w:after="85"/>
        <w:ind w:hanging="0"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rPr>
        <w:t>17. DA ACEITAÇÃO DO OBJETO E DA FISCALIZAÇÃO</w:t>
      </w:r>
    </w:p>
    <w:p>
      <w:pPr>
        <w:pStyle w:val="ListParagraph"/>
        <w:spacing w:lineRule="auto" w:line="276" w:before="85" w:after="85"/>
        <w:ind w:hanging="0"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da Ata anexo a este edital.</w:t>
      </w:r>
    </w:p>
    <w:p>
      <w:pPr>
        <w:pStyle w:val="ListParagraph"/>
        <w:spacing w:lineRule="auto" w:line="276"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lang w:eastAsia="en-US"/>
        </w:rPr>
        <w:t>18. DAS OBRIGAÇÕES DA CONTRATANTE E DA CONTRATADA</w:t>
      </w:r>
    </w:p>
    <w:p>
      <w:pPr>
        <w:pStyle w:val="ListParagraph"/>
        <w:spacing w:lineRule="auto" w:line="276" w:before="85" w:after="85"/>
        <w:ind w:hanging="0"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Tahoma" w:ascii="Verdana" w:hAnsi="Verdana"/>
          <w:color w:val="auto"/>
        </w:rPr>
        <w:t>19</w:t>
      </w:r>
      <w:r>
        <w:rPr>
          <w:rFonts w:cs="Arial" w:ascii="Verdana" w:hAnsi="Verdana"/>
        </w:rPr>
        <w:t>. DO PAGAMENTO</w:t>
      </w:r>
    </w:p>
    <w:p>
      <w:pPr>
        <w:pStyle w:val="ListParagraph"/>
        <w:spacing w:lineRule="auto" w:line="276" w:before="85" w:after="85"/>
        <w:ind w:hanging="0" w:left="0"/>
        <w:contextualSpacing w:val="false"/>
        <w:jc w:val="both"/>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rPr>
        <w:t>20. DAS SANÇÕES ADMINISTRATIVAS.</w:t>
      </w:r>
    </w:p>
    <w:p>
      <w:pPr>
        <w:pStyle w:val="ListParagraph"/>
        <w:spacing w:lineRule="auto" w:line="276" w:before="85" w:after="85"/>
        <w:ind w:hanging="0" w:left="0"/>
        <w:contextualSpacing w:val="false"/>
        <w:jc w:val="both"/>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85" w:after="85"/>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85" w:after="85"/>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85" w:after="85"/>
        <w:jc w:val="both"/>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85" w:after="85"/>
        <w:jc w:val="both"/>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76" w:before="85" w:after="85"/>
        <w:jc w:val="both"/>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85" w:after="85"/>
        <w:jc w:val="both"/>
        <w:rPr/>
      </w:pPr>
      <w:r>
        <w:rPr>
          <w:rFonts w:ascii="Verdana" w:hAnsi="Verdana"/>
          <w:sz w:val="20"/>
          <w:szCs w:val="20"/>
        </w:rPr>
        <w:t>20.1.6.1 Agir em conluio ou em desconformidade com a lei;</w:t>
      </w:r>
    </w:p>
    <w:p>
      <w:pPr>
        <w:pStyle w:val="Normal"/>
        <w:spacing w:lineRule="auto" w:line="276" w:before="85" w:after="85"/>
        <w:jc w:val="both"/>
        <w:rPr/>
      </w:pPr>
      <w:r>
        <w:rPr>
          <w:rFonts w:ascii="Verdana" w:hAnsi="Verdana"/>
          <w:sz w:val="20"/>
          <w:szCs w:val="20"/>
        </w:rPr>
        <w:t>20.1.6.2 Induzir deliberadamente a erro no julgamento;</w:t>
      </w:r>
    </w:p>
    <w:p>
      <w:pPr>
        <w:pStyle w:val="Normal"/>
        <w:spacing w:lineRule="auto" w:line="276" w:before="85" w:after="85"/>
        <w:jc w:val="both"/>
        <w:rPr/>
      </w:pPr>
      <w:r>
        <w:rPr>
          <w:rFonts w:ascii="Verdana" w:hAnsi="Verdana"/>
          <w:sz w:val="20"/>
          <w:szCs w:val="20"/>
        </w:rPr>
        <w:t>20.1.6.3 Apresentar amostra falsificada ou deteriorada;</w:t>
      </w:r>
    </w:p>
    <w:p>
      <w:pPr>
        <w:pStyle w:val="Normal"/>
        <w:spacing w:lineRule="auto" w:line="276" w:before="85" w:after="85"/>
        <w:jc w:val="both"/>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85" w:after="85"/>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before="85" w:after="85"/>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85" w:after="85"/>
        <w:ind w:hanging="0" w:left="0"/>
        <w:rPr/>
      </w:pPr>
      <w:r>
        <w:rPr>
          <w:rFonts w:ascii="Verdana" w:hAnsi="Verdana"/>
        </w:rPr>
        <w:t>20.2.1 advertência;</w:t>
      </w:r>
    </w:p>
    <w:p>
      <w:pPr>
        <w:pStyle w:val="Nivel2"/>
        <w:numPr>
          <w:ilvl w:val="0"/>
          <w:numId w:val="0"/>
        </w:numPr>
        <w:spacing w:before="85" w:after="85"/>
        <w:ind w:hanging="0" w:left="0"/>
        <w:rPr/>
      </w:pPr>
      <w:r>
        <w:rPr>
          <w:rFonts w:ascii="Verdana" w:hAnsi="Verdana"/>
        </w:rPr>
        <w:t>20.2.2 multa;</w:t>
      </w:r>
    </w:p>
    <w:p>
      <w:pPr>
        <w:pStyle w:val="Nivel2"/>
        <w:numPr>
          <w:ilvl w:val="0"/>
          <w:numId w:val="0"/>
        </w:numPr>
        <w:spacing w:before="85" w:after="85"/>
        <w:ind w:hanging="0" w:left="0"/>
        <w:rPr/>
      </w:pPr>
      <w:r>
        <w:rPr>
          <w:rFonts w:ascii="Verdana" w:hAnsi="Verdana"/>
        </w:rPr>
        <w:t>20.2.3 impedimento de licitar e contratar e</w:t>
      </w:r>
    </w:p>
    <w:p>
      <w:pPr>
        <w:pStyle w:val="Nivel2"/>
        <w:numPr>
          <w:ilvl w:val="0"/>
          <w:numId w:val="0"/>
        </w:numPr>
        <w:spacing w:before="85" w:after="85"/>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85" w:after="85"/>
        <w:ind w:hanging="0" w:left="0"/>
        <w:rPr/>
      </w:pPr>
      <w:r>
        <w:rPr>
          <w:rFonts w:ascii="Verdana" w:hAnsi="Verdana"/>
        </w:rPr>
        <w:t>20.3 Na aplicação das sanções serão considerados:</w:t>
      </w:r>
    </w:p>
    <w:p>
      <w:pPr>
        <w:pStyle w:val="Nivel2"/>
        <w:numPr>
          <w:ilvl w:val="0"/>
          <w:numId w:val="0"/>
        </w:numPr>
        <w:spacing w:before="85" w:after="85"/>
        <w:ind w:hanging="0" w:left="0"/>
        <w:rPr/>
      </w:pPr>
      <w:r>
        <w:rPr>
          <w:rFonts w:ascii="Verdana" w:hAnsi="Verdana"/>
        </w:rPr>
        <w:t>20.3.1 a natureza e a gravidade da infração cometida.</w:t>
      </w:r>
    </w:p>
    <w:p>
      <w:pPr>
        <w:pStyle w:val="Nivel2"/>
        <w:numPr>
          <w:ilvl w:val="0"/>
          <w:numId w:val="0"/>
        </w:numPr>
        <w:spacing w:before="85" w:after="85"/>
        <w:ind w:hanging="0" w:left="0"/>
        <w:rPr/>
      </w:pPr>
      <w:r>
        <w:rPr>
          <w:rFonts w:ascii="Verdana" w:hAnsi="Verdana"/>
        </w:rPr>
        <w:t>20.3.2 as peculiaridades do caso concreto</w:t>
      </w:r>
    </w:p>
    <w:p>
      <w:pPr>
        <w:pStyle w:val="Nivel2"/>
        <w:numPr>
          <w:ilvl w:val="0"/>
          <w:numId w:val="0"/>
        </w:numPr>
        <w:spacing w:before="85" w:after="85"/>
        <w:ind w:hanging="0" w:left="0"/>
        <w:rPr/>
      </w:pPr>
      <w:r>
        <w:rPr>
          <w:rFonts w:ascii="Verdana" w:hAnsi="Verdana"/>
        </w:rPr>
        <w:t>20.3.3 as circunstâncias agravantes ou atenuantes</w:t>
      </w:r>
    </w:p>
    <w:p>
      <w:pPr>
        <w:pStyle w:val="Nivel2"/>
        <w:numPr>
          <w:ilvl w:val="0"/>
          <w:numId w:val="0"/>
        </w:numPr>
        <w:spacing w:before="85" w:after="85"/>
        <w:ind w:hanging="0" w:left="0"/>
        <w:rPr/>
      </w:pPr>
      <w:r>
        <w:rPr>
          <w:rFonts w:ascii="Verdana" w:hAnsi="Verdana"/>
        </w:rPr>
        <w:t>20.3.4 os danos que dela provierem para a Administração Pública</w:t>
      </w:r>
    </w:p>
    <w:p>
      <w:pPr>
        <w:pStyle w:val="Nivel2"/>
        <w:numPr>
          <w:ilvl w:val="0"/>
          <w:numId w:val="0"/>
        </w:numPr>
        <w:spacing w:before="85" w:after="85"/>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85" w:after="85"/>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85" w:after="85"/>
        <w:ind w:hanging="0" w:left="0"/>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before="85" w:after="85"/>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85" w:after="85"/>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85" w:after="85"/>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85" w:after="85"/>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85" w:after="85"/>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rFonts w:ascii="Verdana" w:hAnsi="Verdana"/>
          <w:color w:val="000000"/>
        </w:rPr>
        <w:instrText xml:space="preserve"> HYPERLINK "http://www.planalto.gov.br/ccivil_03/_ato2019-2022/2021/lei/L14133.htm" \l "art156%C2%A75"</w:instrText>
      </w:r>
      <w:r>
        <w:rPr>
          <w:rStyle w:val="ListLabel188"/>
          <w:rFonts w:ascii="Verdana" w:hAnsi="Verdana"/>
          <w:color w:val="000000"/>
        </w:rPr>
        <w:fldChar w:fldCharType="separate"/>
      </w:r>
      <w:r>
        <w:rPr>
          <w:rStyle w:val="ListLabel188"/>
          <w:rFonts w:ascii="Verdana" w:hAnsi="Verdana"/>
          <w:color w:val="000000"/>
        </w:rPr>
        <w:t>art. 156, §5º, da Lei n.º 14.133/2021</w:t>
      </w:r>
      <w:r>
        <w:rPr>
          <w:rStyle w:val="ListLabel188"/>
          <w:rFonts w:ascii="Verdana" w:hAnsi="Verdana"/>
          <w:color w:val="000000"/>
        </w:rPr>
        <w:fldChar w:fldCharType="end"/>
      </w:r>
      <w:r>
        <w:rPr>
          <w:rFonts w:ascii="Verdana" w:hAnsi="Verdana"/>
        </w:rPr>
        <w:t>.</w:t>
      </w:r>
    </w:p>
    <w:p>
      <w:pPr>
        <w:pStyle w:val="Nivel2"/>
        <w:numPr>
          <w:ilvl w:val="0"/>
          <w:numId w:val="0"/>
        </w:numPr>
        <w:spacing w:before="85" w:after="85"/>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0">
        <w:r>
          <w:rPr>
            <w:rStyle w:val="ListLabel188"/>
            <w:rFonts w:ascii="Verdana" w:hAnsi="Verdana"/>
            <w:color w:val="000000"/>
          </w:rPr>
          <w:t>art. 45, §4º da IN SEGES/ME n.º 73, de 2022</w:t>
        </w:r>
      </w:hyperlink>
      <w:r>
        <w:rPr>
          <w:rFonts w:ascii="Verdana" w:hAnsi="Verdana"/>
        </w:rPr>
        <w:t xml:space="preserve">. </w:t>
      </w:r>
    </w:p>
    <w:p>
      <w:pPr>
        <w:pStyle w:val="Nivel2"/>
        <w:numPr>
          <w:ilvl w:val="0"/>
          <w:numId w:val="0"/>
        </w:numPr>
        <w:spacing w:before="85" w:after="85"/>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85" w:after="85"/>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85" w:after="85"/>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85" w:after="85"/>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85" w:after="85"/>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85" w:after="85"/>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85" w:after="85"/>
        <w:rPr/>
      </w:pPr>
      <w:r>
        <w:rPr>
          <w:rFonts w:cs="Arial" w:ascii="Verdana" w:hAnsi="Verdana"/>
        </w:rPr>
        <w:t>21. DA IMPUGNAÇÃO AO EDITAL E DO PEDIDO DE ESCLARECIMENTO</w:t>
      </w:r>
    </w:p>
    <w:p>
      <w:pPr>
        <w:pStyle w:val="ListParagraph"/>
        <w:spacing w:lineRule="auto" w:line="276" w:before="85" w:after="85"/>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85" w:after="85"/>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1">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85" w:after="85"/>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85" w:after="85"/>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85" w:after="85"/>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85" w:after="85"/>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85" w:after="85"/>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85" w:after="85"/>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85" w:after="85"/>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85" w:after="85"/>
        <w:rPr/>
      </w:pPr>
      <w:r>
        <w:rPr>
          <w:rFonts w:cs="Arial" w:ascii="Verdana" w:hAnsi="Verdana"/>
        </w:rPr>
        <w:t>22. DAS DISPOSIÇÕES GERAIS</w:t>
      </w:r>
    </w:p>
    <w:p>
      <w:pPr>
        <w:pStyle w:val="Normal"/>
        <w:spacing w:lineRule="auto" w:line="276" w:before="85" w:after="85"/>
        <w:jc w:val="both"/>
        <w:rPr/>
      </w:pPr>
      <w:r>
        <w:rPr>
          <w:rFonts w:cs="Arial" w:ascii="Verdana" w:hAnsi="Verdana"/>
          <w:color w:val="000000"/>
          <w:sz w:val="20"/>
          <w:szCs w:val="20"/>
        </w:rPr>
        <w:t>22.1 Da sessão pública do Pregão divulgar-se-á Ata no sistema eletrônico.</w:t>
      </w:r>
    </w:p>
    <w:p>
      <w:pPr>
        <w:pStyle w:val="Normal"/>
        <w:spacing w:lineRule="auto" w:line="276" w:before="85" w:after="85"/>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85" w:after="85"/>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85" w:after="85"/>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85" w:after="85"/>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85" w:after="85"/>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85" w:after="85"/>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85" w:after="85"/>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85" w:after="85"/>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85" w:after="85"/>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85" w:after="85"/>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90"/>
            <w:rFonts w:ascii="Verdana" w:hAnsi="Verdana"/>
            <w:color w:val="000080"/>
            <w:sz w:val="20"/>
            <w:szCs w:val="20"/>
            <w:u w:val="single"/>
          </w:rPr>
          <w:t>licitacao@</w:t>
        </w:r>
      </w:hyperlink>
      <w:hyperlink r:id="rId13">
        <w:r>
          <w:rPr>
            <w:rStyle w:val="ListLabel190"/>
            <w:rFonts w:ascii="Verdana" w:hAnsi="Verdana"/>
            <w:color w:val="000080"/>
            <w:sz w:val="20"/>
            <w:szCs w:val="20"/>
            <w:u w:val="single"/>
          </w:rPr>
          <w:t>saogabriel</w:t>
        </w:r>
      </w:hyperlink>
      <w:hyperlink r:id="rId14">
        <w:r>
          <w:rPr>
            <w:rStyle w:val="ListLabel190"/>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85" w:after="85"/>
        <w:jc w:val="both"/>
        <w:rPr/>
      </w:pPr>
      <w:r>
        <w:rPr>
          <w:rFonts w:cs="Arial" w:ascii="Verdana" w:hAnsi="Verdana"/>
          <w:color w:val="000000"/>
          <w:sz w:val="20"/>
          <w:szCs w:val="20"/>
        </w:rPr>
        <w:t>22.12 Integram este Edital, para todos os fins e efeitos, os seguintes anexos</w:t>
      </w:r>
    </w:p>
    <w:p>
      <w:pPr>
        <w:pStyle w:val="Normal"/>
        <w:spacing w:lineRule="auto" w:line="276" w:before="85" w:after="85"/>
        <w:jc w:val="both"/>
        <w:rPr/>
      </w:pPr>
      <w:r>
        <w:rPr>
          <w:rFonts w:cs="Arial" w:ascii="Verdana" w:hAnsi="Verdana"/>
          <w:color w:val="000000"/>
          <w:sz w:val="20"/>
          <w:szCs w:val="20"/>
        </w:rPr>
        <w:t>22.12.1 ANEXO I – Termo de Referência;</w:t>
      </w:r>
    </w:p>
    <w:p>
      <w:pPr>
        <w:pStyle w:val="Normal"/>
        <w:spacing w:lineRule="auto" w:line="276" w:before="85" w:after="85"/>
        <w:jc w:val="both"/>
        <w:rPr/>
      </w:pPr>
      <w:r>
        <w:rPr>
          <w:rFonts w:cs="Arial" w:ascii="Verdana" w:hAnsi="Verdana"/>
          <w:color w:val="000000"/>
          <w:sz w:val="20"/>
          <w:szCs w:val="20"/>
        </w:rPr>
        <w:t>22.12.2 ANEXO I-1 – Estudo Técnico Preliminar;</w:t>
      </w:r>
    </w:p>
    <w:p>
      <w:pPr>
        <w:pStyle w:val="Normal"/>
        <w:spacing w:lineRule="auto" w:line="276" w:before="85" w:after="85"/>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before="85" w:after="85"/>
        <w:jc w:val="both"/>
        <w:rPr/>
      </w:pPr>
      <w:r>
        <w:rPr>
          <w:rFonts w:cs="Arial" w:ascii="Verdana" w:hAnsi="Verdana"/>
          <w:color w:val="000000"/>
          <w:sz w:val="20"/>
          <w:szCs w:val="20"/>
        </w:rPr>
        <w:t>22.12.3 ANEXO III – Minuta de Ata de Registro de Preços.</w:t>
      </w:r>
    </w:p>
    <w:p>
      <w:pPr>
        <w:pStyle w:val="Normal"/>
        <w:numPr>
          <w:ilvl w:val="0"/>
          <w:numId w:val="0"/>
        </w:numPr>
        <w:tabs>
          <w:tab w:val="clear" w:pos="708"/>
          <w:tab w:val="left" w:pos="567" w:leader="none"/>
        </w:tabs>
        <w:spacing w:lineRule="auto" w:line="276" w:before="85" w:after="85"/>
        <w:ind w:hanging="0" w:left="0"/>
        <w:jc w:val="center"/>
        <w:outlineLvl w:val="0"/>
        <w:rPr/>
      </w:pPr>
      <w:r>
        <w:rPr/>
      </w:r>
    </w:p>
    <w:p>
      <w:pPr>
        <w:pStyle w:val="Normal"/>
        <w:numPr>
          <w:ilvl w:val="0"/>
          <w:numId w:val="0"/>
        </w:numPr>
        <w:tabs>
          <w:tab w:val="clear" w:pos="708"/>
          <w:tab w:val="left" w:pos="567" w:leader="none"/>
        </w:tabs>
        <w:spacing w:lineRule="auto" w:line="276" w:before="85" w:after="85"/>
        <w:ind w:hanging="0" w:left="0"/>
        <w:jc w:val="center"/>
        <w:outlineLvl w:val="0"/>
        <w:rPr/>
      </w:pPr>
      <w:r>
        <w:rPr>
          <w:rFonts w:cs="Arial" w:ascii="Verdana" w:hAnsi="Verdana"/>
          <w:color w:val="000000"/>
          <w:sz w:val="20"/>
          <w:szCs w:val="20"/>
        </w:rPr>
        <w:t>São Gabriel da Palha/ES, 03 de abril de 2025.</w:t>
      </w:r>
    </w:p>
    <w:p>
      <w:pPr>
        <w:pStyle w:val="Normal"/>
        <w:tabs>
          <w:tab w:val="clear" w:pos="708"/>
          <w:tab w:val="left" w:pos="1440" w:leader="none"/>
        </w:tabs>
        <w:snapToGrid w:val="false"/>
        <w:spacing w:lineRule="auto" w:line="276" w:before="85" w:after="85"/>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85" w:after="85"/>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85" w:after="85"/>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85" w:after="85"/>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76"/>
        <w:ind w:hanging="0" w:left="0"/>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76"/>
        <w:ind w:hanging="0" w:left="0"/>
        <w:jc w:val="center"/>
        <w:outlineLvl w:val="0"/>
        <w:rPr/>
      </w:pPr>
      <w:r>
        <w:rPr>
          <w:rFonts w:eastAsia="" w:cs="Arial" w:ascii="Verdana" w:hAnsi="Verdana" w:eastAsiaTheme="majorEastAsia"/>
          <w:b/>
          <w:bCs/>
          <w:color w:val="000000"/>
          <w:sz w:val="20"/>
          <w:szCs w:val="20"/>
        </w:rPr>
        <w:t>Secretária Municipal de Saúde</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responsaveis/empresas-inidoneas/"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Application>LibreOffice/24.2.6.2$Windows_X86_64 LibreOffice_project/ef66aa7e36a1bb8e65bfbc63aba53045a14d0871</Application>
  <AppVersion>15.0000</AppVersion>
  <Pages>19</Pages>
  <Words>8752</Words>
  <Characters>49563</Characters>
  <CharactersWithSpaces>57919</CharactersWithSpaces>
  <Paragraphs>324</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2025-04-03T13:35:51Z</cp:lastPrinted>
  <dcterms:modified xsi:type="dcterms:W3CDTF">2025-04-30T14:19:44Z</dcterms:modified>
  <cp:revision>176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